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ED" w:rsidRDefault="00D740C6">
      <w:pPr>
        <w:pStyle w:val="ListeParagra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EK-1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E815ED" w:rsidRDefault="00D740C6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KONUK VEYA ULUSLARARASI İLAHİYAT PROGRAMI (UİP) </w:t>
      </w:r>
      <w:r>
        <w:rPr>
          <w:rFonts w:ascii="Times New Roman" w:hAnsi="Times New Roman" w:cs="Times New Roman"/>
          <w:b/>
          <w:sz w:val="24"/>
          <w:szCs w:val="24"/>
        </w:rPr>
        <w:t>ÖĞRENCİLERİ İÇİN</w:t>
      </w:r>
    </w:p>
    <w:p w:rsidR="00E815ED" w:rsidRDefault="00D740C6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DİNİ YÜKSEK İHTİSAS KURS DUYURUSU</w:t>
      </w:r>
    </w:p>
    <w:p w:rsidR="00E815ED" w:rsidRDefault="00E815ED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15ED" w:rsidRDefault="00D74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Diyanet İşleri Başkanlığına bağlı dini yüksek ihtisas merkezleri, dini yükseköğrenim mezunu personele Temel İslam Bilimleri alanında uzmanlaşmaya yönelik kurs programlarının uygulandığı, hazırlık ve ihtis</w:t>
      </w:r>
      <w:r>
        <w:rPr>
          <w:rFonts w:ascii="Times New Roman" w:hAnsi="Times New Roman" w:cs="Times New Roman"/>
          <w:sz w:val="24"/>
          <w:szCs w:val="24"/>
        </w:rPr>
        <w:t xml:space="preserve">as dönemi olmak üzere 33 ay süreli eğitim-öğretim birimleridir.  </w:t>
      </w:r>
    </w:p>
    <w:p w:rsidR="00E815ED" w:rsidRDefault="00D74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Hazırlık dönemi programı Türkçe dil bilgisi, Arapça dil bilgisi, okuma-anlama, yazma, dinleme-konuşma ve çeviri ağırlıklı olup 9 ay sürelidir.</w:t>
      </w:r>
    </w:p>
    <w:p w:rsidR="00E815ED" w:rsidRDefault="00D74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İhtisas dönemi ise 24 ay süreli olup, Tefsir, H</w:t>
      </w:r>
      <w:r>
        <w:rPr>
          <w:rFonts w:ascii="Times New Roman" w:hAnsi="Times New Roman" w:cs="Times New Roman"/>
          <w:sz w:val="24"/>
          <w:szCs w:val="24"/>
        </w:rPr>
        <w:t xml:space="preserve">adis, Fıkıh, İslam Düşüncesi, Din Eğitimi ve Kur’an-ı Kerim dersleri ağırlıklıdır. </w:t>
      </w:r>
    </w:p>
    <w:p w:rsidR="00E815ED" w:rsidRDefault="00D740C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Türkiye’de veya yurtdışında dini yükseköğrenim mezunu </w:t>
      </w:r>
      <w:r>
        <w:rPr>
          <w:rFonts w:ascii="Times New Roman" w:hAnsi="Times New Roman" w:cs="Times New Roman"/>
          <w:b/>
          <w:sz w:val="24"/>
          <w:szCs w:val="24"/>
        </w:rPr>
        <w:t>Konuk veya Uluslararası İlahiyat Programı (UİP) öğrencilerinden</w:t>
      </w:r>
      <w:r>
        <w:rPr>
          <w:rFonts w:ascii="Times New Roman" w:hAnsi="Times New Roman" w:cs="Times New Roman"/>
          <w:sz w:val="24"/>
          <w:szCs w:val="24"/>
        </w:rPr>
        <w:t xml:space="preserve"> aşağıda belirtilen şartları taşıyanlar arasından mülak</w:t>
      </w:r>
      <w:r>
        <w:rPr>
          <w:rFonts w:ascii="Times New Roman" w:hAnsi="Times New Roman" w:cs="Times New Roman"/>
          <w:sz w:val="24"/>
          <w:szCs w:val="24"/>
        </w:rPr>
        <w:t>at yoluyla seçilecek olanlar Diyanet İşleri Başkanlığına bağlı dini yüksek ihtisas merkezlerinde Türkiye Diyanet Vakfı burslusu olarak ihtisas kursuna katılabileceklerdir.</w:t>
      </w: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Başvuru yapabilecek olanlar</w:t>
      </w:r>
    </w:p>
    <w:p w:rsidR="00E815ED" w:rsidRDefault="00E815ED">
      <w:pPr>
        <w:pStyle w:val="ListeParagraf"/>
        <w:tabs>
          <w:tab w:val="left" w:pos="1991"/>
          <w:tab w:val="left" w:pos="2141"/>
          <w:tab w:val="left" w:pos="3146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pStyle w:val="ListeParagraf"/>
        <w:numPr>
          <w:ilvl w:val="1"/>
          <w:numId w:val="2"/>
        </w:numPr>
        <w:tabs>
          <w:tab w:val="left" w:pos="1991"/>
          <w:tab w:val="left" w:pos="2141"/>
          <w:tab w:val="left" w:pos="3146"/>
          <w:tab w:val="left" w:pos="368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Rusya Federasyonu, Kazakistan, Kırgızistan, Özbekist</w:t>
      </w:r>
      <w:r>
        <w:rPr>
          <w:rFonts w:ascii="Times New Roman" w:hAnsi="Times New Roman" w:cs="Times New Roman"/>
          <w:sz w:val="24"/>
          <w:szCs w:val="24"/>
        </w:rPr>
        <w:t xml:space="preserve">an, KKTC, Türkmenistan, Tacikistan, Moğolistan, Litvanya, Letonya, Estonya,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Belarus</w:t>
      </w:r>
      <w:proofErr w:type="spellEnd"/>
      <w:r>
        <w:rPr>
          <w:rFonts w:ascii="Times New Roman" w:hAnsi="Times New Roman" w:cs="Times New Roman"/>
          <w:sz w:val="24"/>
          <w:szCs w:val="24"/>
        </w:rPr>
        <w:t>, Macaristan, Ukrayna, Gürcistan, Azerbaycan, Arnavutluk, Bosna-Hersek, Bulgaristan, Kosova, Makedonya, Karadağ, Sırbistan, Slovenya, Romanya, Afganistan, Hindistan, Çin vey</w:t>
      </w:r>
      <w:r>
        <w:rPr>
          <w:rFonts w:ascii="Times New Roman" w:hAnsi="Times New Roman" w:cs="Times New Roman"/>
          <w:sz w:val="24"/>
          <w:szCs w:val="24"/>
        </w:rPr>
        <w:t>a Afrika Kıtası Ülkeleri vatandaşı dini yükseköğrenim mezunu olanlar,</w:t>
      </w:r>
    </w:p>
    <w:p w:rsidR="00E815ED" w:rsidRDefault="00E815ED">
      <w:pPr>
        <w:pStyle w:val="ListeParagraf"/>
        <w:tabs>
          <w:tab w:val="left" w:pos="1991"/>
          <w:tab w:val="left" w:pos="2141"/>
          <w:tab w:val="left" w:pos="3146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pStyle w:val="ListeParagraf"/>
        <w:numPr>
          <w:ilvl w:val="1"/>
          <w:numId w:val="2"/>
        </w:numPr>
        <w:tabs>
          <w:tab w:val="left" w:pos="1991"/>
          <w:tab w:val="left" w:pos="2141"/>
          <w:tab w:val="left" w:pos="3146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Uluslararası İlahiyat Programı (UİP) mezunu olanlar,</w:t>
      </w:r>
    </w:p>
    <w:p w:rsidR="00E815ED" w:rsidRDefault="00D740C6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UİP kapsamında öğrenim görüp Dini Yüksek İhtisas Eğitimi alacak öğrenciler zorunlu hizmet şartını kabul etmiş sayılırlar. Başkanlık</w:t>
      </w:r>
      <w:r>
        <w:rPr>
          <w:rFonts w:ascii="Times New Roman" w:hAnsi="Times New Roman" w:cs="Times New Roman"/>
          <w:iCs/>
          <w:sz w:val="24"/>
          <w:szCs w:val="24"/>
        </w:rPr>
        <w:t xml:space="preserve"> Yurtdışı Sözleşmeli Din Görevlisi olarak görevlendirme konusunda yetkilidir. Başkanlık, ihtisas eğitimi sonunda yapacağı yeterlik ve temsil sınavı sonucuna göre öğrenciyi yurtdışında, ihtiyaca göre uygun gördüğü bir yerde görevlendirebilecektir.</w:t>
      </w:r>
    </w:p>
    <w:p w:rsidR="00E815ED" w:rsidRDefault="00D740C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Zorunlu </w:t>
      </w:r>
      <w:r>
        <w:rPr>
          <w:rFonts w:ascii="Times New Roman" w:hAnsi="Times New Roman" w:cs="Times New Roman"/>
          <w:iCs/>
          <w:sz w:val="24"/>
          <w:szCs w:val="24"/>
        </w:rPr>
        <w:t>hizmetin süresi 3 yıldır.</w:t>
      </w:r>
    </w:p>
    <w:p w:rsidR="00E815ED" w:rsidRDefault="00E815ED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15ED" w:rsidRDefault="00D740C6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1.3 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urtdışı Sözleşmeli Din Görevlisi olarak çalışıyor olmamak (Yurtdışında Sözleşmeli Din Görevlisi olup da başvuru yapan ve sınavda başarılı olan adayların ihtisas kursuna katılabilmeleri için, bu görevlerinden istifa etmeleri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gerekir.)</w:t>
      </w:r>
    </w:p>
    <w:p w:rsidR="00E815ED" w:rsidRDefault="00E815ED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15ED" w:rsidRDefault="00D740C6">
      <w:pPr>
        <w:pStyle w:val="ListeParagraf"/>
        <w:numPr>
          <w:ilvl w:val="1"/>
          <w:numId w:val="3"/>
        </w:numPr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Türkçe dil bilgisi seviyesi (okuma, anlama, konuşma, yazma) iyi düzeyde olanlar, </w:t>
      </w:r>
    </w:p>
    <w:p w:rsidR="00E815ED" w:rsidRDefault="00E815ED">
      <w:pPr>
        <w:pStyle w:val="ListeParagraf"/>
        <w:tabs>
          <w:tab w:val="left" w:pos="1991"/>
          <w:tab w:val="left" w:pos="2141"/>
          <w:tab w:val="left" w:pos="3146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pStyle w:val="ListeParagraf"/>
        <w:numPr>
          <w:ilvl w:val="1"/>
          <w:numId w:val="3"/>
        </w:numPr>
        <w:tabs>
          <w:tab w:val="left" w:pos="1991"/>
          <w:tab w:val="left" w:pos="2141"/>
          <w:tab w:val="left" w:pos="3146"/>
          <w:tab w:val="left" w:pos="3686"/>
        </w:tabs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yaşını doldurmamış olanlar,</w:t>
      </w:r>
    </w:p>
    <w:p w:rsidR="00E815ED" w:rsidRDefault="00E815ED">
      <w:pPr>
        <w:pStyle w:val="ListeParagraf"/>
        <w:tabs>
          <w:tab w:val="left" w:pos="1991"/>
          <w:tab w:val="left" w:pos="2141"/>
          <w:tab w:val="left" w:pos="3146"/>
          <w:tab w:val="left" w:pos="3686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pStyle w:val="ListeParagraf"/>
        <w:tabs>
          <w:tab w:val="left" w:pos="1991"/>
          <w:tab w:val="left" w:pos="2141"/>
          <w:tab w:val="left" w:pos="3146"/>
          <w:tab w:val="left" w:pos="3686"/>
        </w:tabs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2020-2021 eğitim-öğretim yılı sonunda ilahiyat fakültelerinden mezun olabilecek durumda olanlar,</w:t>
      </w:r>
    </w:p>
    <w:p w:rsidR="00E815ED" w:rsidRDefault="00D74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Başvurabilecekle</w:t>
      </w:r>
      <w:r>
        <w:rPr>
          <w:rFonts w:ascii="Times New Roman" w:hAnsi="Times New Roman" w:cs="Times New Roman"/>
          <w:sz w:val="24"/>
          <w:szCs w:val="24"/>
        </w:rPr>
        <w:t>rdir.</w:t>
      </w:r>
    </w:p>
    <w:p w:rsidR="00E815ED" w:rsidRDefault="00D740C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Başvuru Şekli</w:t>
      </w:r>
    </w:p>
    <w:p w:rsidR="00E815ED" w:rsidRDefault="00E81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5ED" w:rsidRDefault="00D740C6">
      <w:pPr>
        <w:pStyle w:val="ListeParagraf"/>
        <w:numPr>
          <w:ilvl w:val="1"/>
          <w:numId w:val="4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Türkiye’deki öğrencilerin başvuruları, öğrenim gördükleri illerdeki Diyanet İşleri</w:t>
      </w:r>
    </w:p>
    <w:p w:rsidR="00E815ED" w:rsidRDefault="00D740C6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Başkanlığı/Türkiye Diyanet Vakfı il eğitim koordinatörleri aracılığıyla,</w:t>
      </w:r>
    </w:p>
    <w:p w:rsidR="00E815ED" w:rsidRDefault="00E815ED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pStyle w:val="ListeParagraf"/>
        <w:numPr>
          <w:ilvl w:val="1"/>
          <w:numId w:val="4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Yurtdışındaki öğrencilerin başvuruları da Din Hizmetleri Müşavirlik </w:t>
      </w:r>
      <w:r>
        <w:rPr>
          <w:rFonts w:ascii="Times New Roman" w:hAnsi="Times New Roman" w:cs="Times New Roman"/>
          <w:sz w:val="24"/>
          <w:szCs w:val="24"/>
        </w:rPr>
        <w:t>ve Ataşelikler</w:t>
      </w:r>
    </w:p>
    <w:p w:rsidR="00E815ED" w:rsidRDefault="00D740C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aracılığıyla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815ED" w:rsidRDefault="00D740C6">
      <w:pPr>
        <w:pStyle w:val="ListeParagraf"/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Yapılır ve başvuru formu ve ekleri Diyanet İşleri Başkanlığı Dış İlişkiler Genel Müdürlüğüne ulaştırılır.</w:t>
      </w: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Başvuru Takvimi </w:t>
      </w:r>
    </w:p>
    <w:p w:rsidR="00E815ED" w:rsidRDefault="00D740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Başvuru Başlangıç ve Bitiş Tarihi: 03 Mayıs- 11 Haziran 2021</w:t>
      </w:r>
    </w:p>
    <w:p w:rsidR="00E815ED" w:rsidRDefault="00E815ED">
      <w:pPr>
        <w:tabs>
          <w:tab w:val="left" w:pos="1991"/>
          <w:tab w:val="left" w:pos="2141"/>
          <w:tab w:val="left" w:pos="3146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Başvuru Belgeleri</w:t>
      </w:r>
    </w:p>
    <w:p w:rsidR="00E815ED" w:rsidRDefault="00D740C6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 başvuru</w:t>
      </w:r>
      <w:r>
        <w:rPr>
          <w:rFonts w:ascii="Times New Roman" w:hAnsi="Times New Roman" w:cs="Times New Roman"/>
          <w:sz w:val="24"/>
          <w:szCs w:val="24"/>
        </w:rPr>
        <w:t xml:space="preserve"> formu (resimli) </w:t>
      </w:r>
    </w:p>
    <w:p w:rsidR="00E815ED" w:rsidRDefault="00D740C6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Adayın son öğrenim durumunu gösterir belge ya da diploma örneği</w:t>
      </w:r>
    </w:p>
    <w:p w:rsidR="00E815ED" w:rsidRDefault="00D740C6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Adaya ait geçerli bir kimlik belgesinin örneği (pasaport, nüfus cüzdanı vb.)</w:t>
      </w:r>
    </w:p>
    <w:p w:rsidR="00E815ED" w:rsidRDefault="00D740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Ek-3 Referans Mektubu (Yurtdışından başvuranlar için Dini Kurum yetkilileri tarafından </w:t>
      </w:r>
      <w:r>
        <w:rPr>
          <w:rFonts w:ascii="Times New Roman" w:hAnsi="Times New Roman" w:cs="Times New Roman"/>
          <w:sz w:val="24"/>
          <w:szCs w:val="24"/>
        </w:rPr>
        <w:t>doldurularak ülkedeki Din Hizmetleri Müşavirlik/Ataşeliklerine, yurtiçinden başvuranlar için Akademik Koordinatör tarafından doldurularak il eğitim koordinatörlüğüne teslim edilecektir)</w:t>
      </w:r>
    </w:p>
    <w:p w:rsidR="00E815ED" w:rsidRDefault="00E81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Başvuruların Değerlendirilmesi ve Mülakat</w:t>
      </w:r>
    </w:p>
    <w:p w:rsidR="00E815ED" w:rsidRDefault="00D74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Başvuruları alınan adayl</w:t>
      </w:r>
      <w:r>
        <w:rPr>
          <w:rFonts w:ascii="Times New Roman" w:hAnsi="Times New Roman" w:cs="Times New Roman"/>
          <w:sz w:val="24"/>
          <w:szCs w:val="24"/>
        </w:rPr>
        <w:t xml:space="preserve">arın belgeleri, gerekli şartları taşıyıp taşımamaları açısından il eğitim koordinatörlükleri ile din hizmetleri müşavirlikleri/ataşelikleri tarafından ön incelemeden geçirilecektir. Yapılacak inceleme ve değerlendirmenin ardından, aranan şartları taşıdığı </w:t>
      </w:r>
      <w:r>
        <w:rPr>
          <w:rFonts w:ascii="Times New Roman" w:hAnsi="Times New Roman" w:cs="Times New Roman"/>
          <w:sz w:val="24"/>
          <w:szCs w:val="24"/>
        </w:rPr>
        <w:t xml:space="preserve">tespit edilen adaylar,  gerekli görüldüğü takdirde mülakata alınacaktır. Mülakat tarihleri ve yerleri başvuruların alınmasından sonra adaylara bilahare bildirilecektir.  </w:t>
      </w:r>
    </w:p>
    <w:p w:rsidR="00E815ED" w:rsidRDefault="00D74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Seçimler, adayların mezuniyet belgeleri ya da ders notları ile mülakat sonuçlarına gö</w:t>
      </w:r>
      <w:r>
        <w:rPr>
          <w:rFonts w:ascii="Times New Roman" w:hAnsi="Times New Roman" w:cs="Times New Roman"/>
          <w:sz w:val="24"/>
          <w:szCs w:val="24"/>
        </w:rPr>
        <w:t xml:space="preserve">re gerçekleştirilir. Mezuniyet derecesi/ders notları ve mülakat sonuçlarına göre en başarılı öğrenciden başlayarak kontenjan sayısınca aday tespit edilir. Seçimde aşağıdaki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dikkate alınır: </w:t>
      </w:r>
    </w:p>
    <w:p w:rsidR="00E815ED" w:rsidRDefault="00D740C6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Kur’an-ı Kerim ve Temel İslam Bilimleri bilgi düzeyi</w:t>
      </w:r>
    </w:p>
    <w:p w:rsidR="00E815ED" w:rsidRDefault="00D740C6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</w:t>
      </w:r>
      <w:r>
        <w:rPr>
          <w:rFonts w:ascii="Times New Roman" w:hAnsi="Times New Roman" w:cs="Times New Roman"/>
          <w:sz w:val="24"/>
          <w:szCs w:val="24"/>
        </w:rPr>
        <w:t>uniyet derecesi/ders notları</w:t>
      </w:r>
    </w:p>
    <w:p w:rsidR="00E815ED" w:rsidRDefault="00D740C6">
      <w:pPr>
        <w:pStyle w:val="ListeParagraf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 ifade becerisi</w:t>
      </w:r>
    </w:p>
    <w:p w:rsidR="00E815ED" w:rsidRDefault="00D740C6">
      <w:pPr>
        <w:pStyle w:val="ListeParagraf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dil bilgisi düzeyi</w:t>
      </w: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color w:val="001AD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 mülakat esnasında başvuruda sundukları belgelerin orijinallerini yanlarında bulundurmak zorundadırlar.</w:t>
      </w:r>
    </w:p>
    <w:p w:rsidR="00E815ED" w:rsidRDefault="00E81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Kursta Eğitim-Öğretim</w:t>
      </w:r>
    </w:p>
    <w:p w:rsidR="00E815ED" w:rsidRDefault="00D740C6">
      <w:pPr>
        <w:pStyle w:val="ListeParagr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Kursta öğrenim süresi hazırlık ve ihtisas </w:t>
      </w:r>
      <w:r>
        <w:rPr>
          <w:rFonts w:ascii="Times New Roman" w:hAnsi="Times New Roman" w:cs="Times New Roman"/>
          <w:sz w:val="24"/>
          <w:szCs w:val="24"/>
        </w:rPr>
        <w:t>olmak üzere 33 aydır.</w:t>
      </w:r>
    </w:p>
    <w:p w:rsidR="00E815ED" w:rsidRDefault="00D740C6">
      <w:pPr>
        <w:pStyle w:val="ListeParagr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Kursta eğitim-öğretim 11 dönem halinde gerçekleştirilir. Her dönem 3 ay sürelidir ve her dönem sonunda başarı değerlendirilmesi yapılır.</w:t>
      </w:r>
    </w:p>
    <w:p w:rsidR="00E815ED" w:rsidRDefault="00D740C6">
      <w:pPr>
        <w:pStyle w:val="ListeParagraf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kurs süresince yatılı olarak kalmaları esastır. Ancak masrafları kendileri tarafında</w:t>
      </w:r>
      <w:r>
        <w:rPr>
          <w:rFonts w:ascii="Times New Roman" w:hAnsi="Times New Roman" w:cs="Times New Roman"/>
          <w:sz w:val="24"/>
          <w:szCs w:val="24"/>
        </w:rPr>
        <w:t xml:space="preserve">n karşılanmak kaydıyla öğrenciler ihtisas merkezi dışında da kalabilirler. </w:t>
      </w:r>
    </w:p>
    <w:p w:rsidR="00E815ED" w:rsidRDefault="00D740C6">
      <w:pPr>
        <w:pStyle w:val="ListeParagr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İhtisas eğitiminin dönem sonu sınavlarında başarı notu yetersiz veya disiplinsiz olanların eğitimlerine son verilir ve kursla ilişiği kesilir.</w:t>
      </w:r>
    </w:p>
    <w:p w:rsidR="00E815ED" w:rsidRDefault="00D740C6">
      <w:pPr>
        <w:pStyle w:val="ListeParagr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Öğrenim süresince kursiyerlere yöneli</w:t>
      </w:r>
      <w:r>
        <w:rPr>
          <w:rFonts w:ascii="Times New Roman" w:hAnsi="Times New Roman" w:cs="Times New Roman"/>
          <w:sz w:val="24"/>
          <w:szCs w:val="24"/>
        </w:rPr>
        <w:t>k çeşitli sosyal ve kültürel aktiviteler düzenlenir.</w:t>
      </w:r>
    </w:p>
    <w:p w:rsidR="00E815ED" w:rsidRDefault="00E815ED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Eğitim Desteği</w:t>
      </w:r>
    </w:p>
    <w:p w:rsidR="00E815ED" w:rsidRDefault="00D74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kabul edilen kursiyerlere aylık burs imkânı sunulmaktadır.</w:t>
      </w:r>
    </w:p>
    <w:p w:rsidR="00E815ED" w:rsidRDefault="00E8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ED" w:rsidRDefault="00D74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İletişim</w:t>
      </w:r>
    </w:p>
    <w:p w:rsidR="00E815ED" w:rsidRDefault="00D74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DİYANET İŞLERİ BAŞKANLIĞI</w:t>
      </w:r>
    </w:p>
    <w:p w:rsidR="00E815ED" w:rsidRDefault="00D740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İLİŞKİLER GENEL MÜDÜRLÜĞÜ</w:t>
      </w:r>
    </w:p>
    <w:p w:rsidR="00E815ED" w:rsidRDefault="00D74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0090 312 295 75 94 – 0090 312 295 75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E815ED" w:rsidRDefault="00D740C6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0090 312 286 97 </w:t>
      </w:r>
      <w:proofErr w:type="gramStart"/>
      <w:r>
        <w:rPr>
          <w:rFonts w:ascii="Times New Roman" w:hAnsi="Times New Roman" w:cs="Times New Roman"/>
          <w:sz w:val="24"/>
          <w:szCs w:val="24"/>
        </w:rPr>
        <w:t>14         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-Posta: </w:t>
      </w:r>
      <w:hyperlink r:id="rId7">
        <w:r>
          <w:rPr>
            <w:rStyle w:val="nternetBalants"/>
            <w:rFonts w:ascii="Times New Roman" w:hAnsi="Times New Roman" w:cs="Times New Roman"/>
            <w:sz w:val="24"/>
            <w:szCs w:val="24"/>
          </w:rPr>
          <w:t>disiliskiler@diyanet.gov.tr</w:t>
        </w:r>
      </w:hyperlink>
    </w:p>
    <w:sectPr w:rsidR="00E815ED" w:rsidSect="00D740C6">
      <w:pgSz w:w="11906" w:h="16838"/>
      <w:pgMar w:top="567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l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63D8"/>
    <w:multiLevelType w:val="multilevel"/>
    <w:tmpl w:val="2BD626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3F208FD"/>
    <w:multiLevelType w:val="multilevel"/>
    <w:tmpl w:val="F57C500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6AE706A"/>
    <w:multiLevelType w:val="multilevel"/>
    <w:tmpl w:val="EAD8E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7E26DB1"/>
    <w:multiLevelType w:val="multilevel"/>
    <w:tmpl w:val="EE38850E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b w:val="0"/>
      </w:rPr>
    </w:lvl>
  </w:abstractNum>
  <w:abstractNum w:abstractNumId="4">
    <w:nsid w:val="6402645C"/>
    <w:multiLevelType w:val="multilevel"/>
    <w:tmpl w:val="C9684488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5">
    <w:nsid w:val="7108119F"/>
    <w:multiLevelType w:val="multilevel"/>
    <w:tmpl w:val="62A832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ED"/>
    <w:rsid w:val="00D740C6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74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691B74"/>
    <w:rPr>
      <w:color w:val="0000FF" w:themeColor="hyperlink"/>
      <w:u w:val="single"/>
    </w:rPr>
  </w:style>
  <w:style w:type="character" w:customStyle="1" w:styleId="A4">
    <w:name w:val="A4"/>
    <w:uiPriority w:val="99"/>
    <w:qFormat/>
    <w:rsid w:val="00F90C29"/>
    <w:rPr>
      <w:rFonts w:cs="Aller"/>
      <w:color w:val="000000"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qFormat/>
    <w:rsid w:val="000B29B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7121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rFonts w:ascii="Times New Roman" w:hAnsi="Times New Roman"/>
      <w:b/>
      <w:sz w:val="24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ascii="Times New Roman" w:hAnsi="Times New Roman" w:cs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rFonts w:ascii="Times New Roman" w:hAnsi="Times New Roman"/>
      <w:b/>
      <w:sz w:val="24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b w:val="0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b w:val="0"/>
    </w:rPr>
  </w:style>
  <w:style w:type="character" w:customStyle="1" w:styleId="ListLabel79">
    <w:name w:val="ListLabel 79"/>
    <w:qFormat/>
    <w:rPr>
      <w:rFonts w:ascii="Times New Roman" w:hAnsi="Times New Roman"/>
      <w:b/>
      <w:sz w:val="24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rFonts w:ascii="Times New Roman" w:hAnsi="Times New Roman"/>
      <w:b/>
      <w:sz w:val="24"/>
    </w:rPr>
  </w:style>
  <w:style w:type="character" w:customStyle="1" w:styleId="ListLabel99">
    <w:name w:val="ListLabel 99"/>
    <w:qFormat/>
    <w:rPr>
      <w:b w:val="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b w:val="0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ascii="Times New Roman" w:hAnsi="Times New Roman" w:cs="Times New Roman"/>
      <w:sz w:val="24"/>
      <w:szCs w:val="24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0B29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691B74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qFormat/>
    <w:rsid w:val="00F90C29"/>
    <w:pPr>
      <w:spacing w:after="0" w:line="241" w:lineRule="atLeast"/>
    </w:pPr>
    <w:rPr>
      <w:rFonts w:ascii="Aller" w:hAnsi="Aller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712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53B52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74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691B74"/>
    <w:rPr>
      <w:color w:val="0000FF" w:themeColor="hyperlink"/>
      <w:u w:val="single"/>
    </w:rPr>
  </w:style>
  <w:style w:type="character" w:customStyle="1" w:styleId="A4">
    <w:name w:val="A4"/>
    <w:uiPriority w:val="99"/>
    <w:qFormat/>
    <w:rsid w:val="00F90C29"/>
    <w:rPr>
      <w:rFonts w:cs="Aller"/>
      <w:color w:val="000000"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qFormat/>
    <w:rsid w:val="000B29B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7121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rFonts w:ascii="Times New Roman" w:hAnsi="Times New Roman"/>
      <w:b/>
      <w:sz w:val="24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ascii="Times New Roman" w:hAnsi="Times New Roman" w:cs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rFonts w:ascii="Times New Roman" w:hAnsi="Times New Roman"/>
      <w:b/>
      <w:sz w:val="24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b w:val="0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b w:val="0"/>
    </w:rPr>
  </w:style>
  <w:style w:type="character" w:customStyle="1" w:styleId="ListLabel79">
    <w:name w:val="ListLabel 79"/>
    <w:qFormat/>
    <w:rPr>
      <w:rFonts w:ascii="Times New Roman" w:hAnsi="Times New Roman"/>
      <w:b/>
      <w:sz w:val="24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rFonts w:ascii="Times New Roman" w:hAnsi="Times New Roman"/>
      <w:b/>
      <w:sz w:val="24"/>
    </w:rPr>
  </w:style>
  <w:style w:type="character" w:customStyle="1" w:styleId="ListLabel99">
    <w:name w:val="ListLabel 99"/>
    <w:qFormat/>
    <w:rPr>
      <w:b w:val="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b w:val="0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ascii="Times New Roman" w:hAnsi="Times New Roman" w:cs="Times New Roman"/>
      <w:sz w:val="24"/>
      <w:szCs w:val="24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0B29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691B74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qFormat/>
    <w:rsid w:val="00F90C29"/>
    <w:pPr>
      <w:spacing w:after="0" w:line="241" w:lineRule="atLeast"/>
    </w:pPr>
    <w:rPr>
      <w:rFonts w:ascii="Aller" w:hAnsi="Aller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712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53B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siliskiler@diyanet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D9CB2-1512-4FE2-8ACF-A7CA6513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ahmet.dilek</dc:creator>
  <cp:lastModifiedBy>Duman</cp:lastModifiedBy>
  <cp:revision>2</cp:revision>
  <dcterms:created xsi:type="dcterms:W3CDTF">2021-04-29T13:46:00Z</dcterms:created>
  <dcterms:modified xsi:type="dcterms:W3CDTF">2021-04-29T13:46:00Z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